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WasSiG§13V</w:t>
      </w:r>
    </w:p>
    <w:p>
      <w:r>
        <w:rPr>
          <w:color w:val="555555"/>
          <w:sz w:val="18"/>
        </w:rPr>
        <w:t xml:space="preserve">Verordnung zur Übertragung der Ermächtigung zum Erlaß von Rechtsverordnungen nach § 13 des Wassersicherstellungsgesetzes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Ermächtigung der Bundesregierung zum Erlaß von Rechtsverordnungen nach § 13 Abs. 1 des Wassersicherstellungsgesetzes wird auf die Landesregierungen übertragen.</w:t>
      </w:r>
    </w:p>
    <w:p>
      <w:r>
        <w:t xml:space="preserve">(2) Die Landesregierungen können die ihnen nach Absatz 1 übertragene Ermächtigung durch Rechtsverordnung weiter übertragen.</w:t>
      </w:r>
    </w:p>
    <w:p>
      <w:r>
        <w:rPr>
          <w:color w:val="555555"/>
          <w:sz w:val="17"/>
        </w:rPr>
        <w:t xml:space="preserve">Zitiervorschlag: § 1 WasSiG§13V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https://recht.nulegal.eu/gesetze/WasSiG%C2%A713V/1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WasSiG§13V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