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WasSV 2</w:t>
      </w:r>
    </w:p>
    <w:p>
      <w:r>
        <w:rPr>
          <w:color w:val="555555"/>
          <w:sz w:val="18"/>
        </w:rPr>
        <w:t xml:space="preserve">Zweite Wassersicherstellungsverordnung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 Nr. 3 des Wassersicherstellungsgesetzes vom 24. August 1965 (Bundesgesetzblatt I S. 1225), geändert durch das Einführungsgesetz zum Gesetz über Ordnungswidrigkeiten vom 24. Mai 1968 (Bundesgesetzbl. I S. 503), verordnet die Bundesregierung mit Zustimmung des Bundesrates:</w:t>
      </w:r>
    </w:p>
    <w:p>
      <w:r>
        <w:rPr>
          <w:color w:val="555555"/>
          <w:sz w:val="17"/>
        </w:rPr>
        <w:t xml:space="preserve">Zitiervorschlag: Eingangsformel WasSV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https://recht.nulegal.eu/gesetze/WasSV%202/eingangsformel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