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WasSV 2 — Inkrafttreten</w:t>
      </w:r>
    </w:p>
    <w:p>
      <w:r>
        <w:rPr>
          <w:color w:val="555555"/>
          <w:sz w:val="18"/>
        </w:rPr>
        <w:t xml:space="preserve">Zweite Wassersicherstellungsverordnung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7 WasSV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https://recht.nulegal.eu/gesetze/WasSV%202/7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