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WasSV 2 — Besondere Anforderungen für Trinkwasser-Notbrunnen</w:t>
      </w:r>
    </w:p>
    <w:p>
      <w:r>
        <w:rPr>
          <w:color w:val="555555"/>
          <w:sz w:val="18"/>
        </w:rPr>
        <w:t xml:space="preserve">Zweite Wassersicherstellungsverordnung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Neu zu bauende Brunnen, die zur Versorgung mit Trinkwasser bestimmt sind, müssen in der Regel als Bohrbrunnen gebaut werden. Sie müssen aus folgenden Teilen bestehen:</w:t>
      </w:r>
    </w:p>
    <w:p>
      <w:pPr>
        <w:ind w:left="420"/>
      </w:pPr>
      <w:r>
        <w:t xml:space="preserve">Sumpfrohr mit Boden, Filterrohr, Aufsatzrohr, Brunnenkopf, Förderleitung und Brunnenschacht mit tagwasserdichter Schachtabdeckung.</w:t>
      </w:r>
    </w:p>
    <w:p>
      <w:r>
        <w:t xml:space="preserve">Abweichungen dürfen nur in begründeten Ausnahmefällen vorgesehen werden. Es sind Förderanlagen nach § 3 Abs. 3 vorzusehen.</w:t>
      </w:r>
    </w:p>
    <w:p>
      <w:r>
        <w:t xml:space="preserve">(2) Umzubauende Brunnen, die zur Versorgung mit Trinkwasser bestimmt sind, müssen mindestens eine tagwasserdichte Abdeckung sowie eine Förderanlage nach § 3 Abs. 3 haben.</w:t>
      </w:r>
    </w:p>
    <w:p>
      <w:r>
        <w:rPr>
          <w:color w:val="555555"/>
          <w:sz w:val="17"/>
        </w:rPr>
        <w:t xml:space="preserve">Zitiervorschlag: § 4 WasSV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https://recht.nulegal.eu/gesetze/WasSV%202/4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