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WasSV 2 — Bauweise, Baustoffe und Bestandteile von Brunnen</w:t>
      </w:r>
    </w:p>
    <w:p>
      <w:r>
        <w:rPr>
          <w:color w:val="555555"/>
          <w:sz w:val="18"/>
        </w:rPr>
        <w:t xml:space="preserve">Zweite Wassersicherstellungsverordnung</w:t>
      </w:r>
    </w:p>
    <w:p>
      <w:r>
        <w:rPr>
          <w:color w:val="555555"/>
          <w:sz w:val="18"/>
        </w:rPr>
        <w:t xml:space="preserve">Stand: 10.06.2019 (konsolidierte Textfassung, kein amtliches Inkrafttretensdatum)</w:t>
      </w:r>
    </w:p>
    <w:p>
      <w:r>
        <w:t xml:space="preserve">(1) Bauweise und Baustoffe von Brunnen müssen so beschaffen sein, daß sie elektrolytischen und chemischen Einwirkungen für eine möglichst lange Zeit widerstehen. Die Bauweise der Brunnen muß den hydrogeologischen Verhältnissen entsprechen.</w:t>
      </w:r>
    </w:p>
    <w:p>
      <w:r>
        <w:t xml:space="preserve">(2) Brunnenschacht und Brunnenkopf müssen so hergestellt werden, daß das Wasser für seine vorgesehene Verwendung nicht durch Einwirkung von außen, insbesondere durch radioaktive Niederschläge oder biologische oder chemische Kampfmittel, beeinträchtigt werden kann.</w:t>
      </w:r>
    </w:p>
    <w:p>
      <w:r>
        <w:t xml:space="preserve">(3) Art und Ausbildung der Förderanlage werden bestimmt durch die hydrogeologischen Verhältnisse und die Wasserbereitstellung. Bei ausreichendem Grundwasserstand und einer Wasserbereitstellung bis 3 cbm/h sind weitgehend Handpumpen einzusetzen. In allen anderen Fällen soll die Förderanlage aus Pumpe und Motor bestehen; Abweichungen dürfen in begründeten Fällen vorgesehen werden. Entsprechend der Konstruktion kann ein Hydrant mit Schlüssel und Standrohr zur Förderanlage gehören. Für Pumpen mit Elektromotor ist außer dem Netzanschluß der Anschluß für ein Notstromaggregat oder eine gleichwertige Einrichtung vorzusehen.</w:t>
      </w:r>
    </w:p>
    <w:p>
      <w:r>
        <w:t xml:space="preserve">(4) Die unmittelbare Umgebung von Brunnen ist so zu befestigen, daß sie jederzeit befahrbar ist und das anfallende Niederschlagswasser oberirdisch abfließen kann. Werden Pumpen mit Verbrennungsmotoren eingesetzt, muß der Standplatz so gewählt oder hergerichtet werden, daß Mineralöl weder versickern noch in das abzugebende Wasser gelangen kann.</w:t>
      </w:r>
    </w:p>
    <w:p>
      <w:r>
        <w:rPr>
          <w:color w:val="555555"/>
          <w:sz w:val="17"/>
        </w:rPr>
        <w:t xml:space="preserve">Zitiervorschlag: § 3 WasSV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