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WasSV 2 — Anwendungsbereich</w:t>
      </w:r>
    </w:p>
    <w:p>
      <w:r>
        <w:rPr>
          <w:color w:val="555555"/>
          <w:sz w:val="18"/>
        </w:rPr>
        <w:t xml:space="preserve">Zweite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gelten für Brunnen und Quellfassungen, die als selbständig zu betreibende Einzelanlagen zur</w:t>
      </w:r>
    </w:p>
    <w:p>
      <w:pPr>
        <w:ind w:left="420"/>
      </w:pPr>
      <w:r>
        <w:t xml:space="preserve">1. Deckung des lebensnotwendigen Bedarfs an Trinkwasser,</w:t>
      </w:r>
    </w:p>
    <w:p>
      <w:pPr>
        <w:ind w:left="420"/>
      </w:pPr>
      <w:r>
        <w:t xml:space="preserve">2. Versorgung mit Betriebswasser im unentbehrlichen Umfang,</w:t>
      </w:r>
    </w:p>
    <w:p>
      <w:pPr>
        <w:ind w:left="420"/>
      </w:pPr>
      <w:r>
        <w:t xml:space="preserve">3. Deckung des Bedarfs an Löschwasser</w:t>
      </w:r>
    </w:p>
    <w:p>
      <w:r>
        <w:t xml:space="preserve">nach dem Wassersicherstellungsgesetz gebaut oder umgebaut werden. Sie gelten nicht für Brunnen und Quellfassungen der zentralen Wasserversorgung.</w:t>
      </w:r>
    </w:p>
    <w:p>
      <w:r>
        <w:rPr>
          <w:color w:val="555555"/>
          <w:sz w:val="17"/>
        </w:rPr>
        <w:t xml:space="preserve">Zitiervorschlag: § 1 WasSV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