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WasSV 1 — Beschaffenheit des Betriebswassers</w:t>
      </w:r>
    </w:p>
    <w:p>
      <w:r>
        <w:rPr>
          <w:color w:val="555555"/>
          <w:sz w:val="18"/>
        </w:rPr>
        <w:t xml:space="preserve">Erste Wassersicherstellungsverordnung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Betriebswasser muß so beschaffen sein, daß Betriebe und Anstalten die nach der Zivilverteidigungsplanung geforderten Leistungen im Verteidigungsfall erbringen können. Im einzelnen ist die Beschaffenheit von der Verwendungsart abhängig.</w:t>
      </w:r>
    </w:p>
    <w:p>
      <w:r>
        <w:t xml:space="preserve">(2) Betriebswasser muß so beschaffen sein, daß eine Gesundheitsschädigung der Betriebsangehörigen nicht zu befürchten ist.</w:t>
      </w:r>
    </w:p>
    <w:p>
      <w:r>
        <w:rPr>
          <w:color w:val="555555"/>
          <w:sz w:val="17"/>
        </w:rPr>
        <w:t xml:space="preserve">Zitiervorschlag: § 5 WasSV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https://recht.nulegal.eu/gesetze/WasSV%201/5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