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WasMotRV</w:t>
      </w:r>
    </w:p>
    <w:p>
      <w:r>
        <w:rPr>
          <w:color w:val="555555"/>
          <w:sz w:val="18"/>
        </w:rPr>
        <w:t xml:space="preserve">Wassermotorräder-Verordnung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3 Abs. 1 Nr. 1 bis 3, Abs. 2 Nr. 2 und Abs. 3 des Binnenschiffahrtsaufgabengesetzes in der Fassung der Bekanntmachung vom 4. August 1986 (BGBl. I S. 1270) und des § 3e Abs. 1 Satz 1 des Binnenschifffahrtsaufgabengesetzes, der durch Artikel 5 Nr. 3 des Gesetzes vom 13. August 1993 (BGBl. I S. 1489) geändert worden ist, verordnet das Bundesministerium für Verkehr,</w:t>
      </w:r>
    </w:p>
    <w:p>
      <w:pPr>
        <w:ind w:left="420"/>
      </w:pPr>
      <w:r>
        <w:t xml:space="preserve">- des § 3 Abs. 5 Satz 1 und des § 3e Abs. 1 Satz 2 Nr. 1 des Binnenschiffahrtsaufgabengesetzes in Verbindung mit Artikel 56 des Zuständigkeitsanpassungsgesetzes vom 18. März 1975 (BGBl. I S. 705) und dem Organisationserlaß des Bundeskanzlers vom 5. Juni 1986 (BGBl. I S. 864) verordnet das Bundesministerium für Verkehr gemeinsam mit dem Bundesministerium für Umwelt, Naturschutz und Reaktorsicherheit,</w:t>
      </w:r>
    </w:p>
    <w:p>
      <w:pPr>
        <w:ind w:left="420"/>
      </w:pPr>
      <w:r>
        <w:t xml:space="preserve">- des § 3 Abs. 5 Satz 2 des Binnenschiffahrtsaufgabengesetzes verordnet das Bundesministerium für Verkehr im Einvernehmen mit dem Bundesministerium für Arbeit und Sozialordnung:</w:t>
      </w:r>
    </w:p>
    <w:p>
      <w:r>
        <w:rPr>
          <w:color w:val="555555"/>
          <w:sz w:val="17"/>
        </w:rPr>
        <w:t xml:space="preserve">Zitiervorschlag: Eingangsformel WasMotRV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https://recht.nulegal.eu/gesetze/WasMotRV/eingangsformel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