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WasMotRV — Ordnungswidrigkeiten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Abs. 1 des Binnenschiffahrtsaufgabengesetzes handelt, wer vorsätzlich oder fahrlässig</w:t>
      </w:r>
    </w:p>
    <w:p>
      <w:pPr>
        <w:ind w:left="420"/>
      </w:pPr>
      <w:r>
        <w:t xml:space="preserve">1. als Führer eines Wassermotorrades</w:t>
      </w:r>
    </w:p>
    <w:p>
      <w:pPr>
        <w:ind w:left="780"/>
      </w:pPr>
      <w:r>
        <w:t xml:space="preserve">a) entgegen § 3 Abs. 1 Satz 1 außerhalb der freigegebenen Wasserflächen fährt,</w:t>
      </w:r>
    </w:p>
    <w:p>
      <w:pPr>
        <w:ind w:left="780"/>
      </w:pPr>
      <w:r>
        <w:t xml:space="preserve">b) entgegen § 3 Abs. 2 andere gefährdet oder mehr als nach den Umständen unvermeidbar behindert oder belästigt,</w:t>
      </w:r>
    </w:p>
    <w:p>
      <w:pPr>
        <w:ind w:left="780"/>
      </w:pPr>
      <w:r>
        <w:t xml:space="preserve">c) entgegen § 4 Abs. 1 Satz 2 andere gefährdet oder die übrige Schiffahrt behindert oder andere Fahrzeuge, Ufer- oder Regelungsbauwerke, schwimmende oder feste Anlagen, Schiffahrtszeichen oder Ufervegetation beschädigt oder</w:t>
      </w:r>
    </w:p>
    <w:p>
      <w:pPr>
        <w:ind w:left="780"/>
      </w:pPr>
      <w:r>
        <w:t xml:space="preserve">d) entgegen § 5 oder § 6 Abs. 1 ein Wassermotorrad zu Wasser läßt, aus dem Wasser herausnimmt oder führt oder</w:t>
      </w:r>
    </w:p>
    <w:p>
      <w:pPr>
        <w:ind w:left="420"/>
      </w:pPr>
      <w:r>
        <w:t xml:space="preserve">2. als Eigentümer eines Wassermotorrades entgegen § 6 Abs. 2 anordnet oder zuläßt, daß der Fahrzeugführer ein Wassermotorrad führt.</w:t>
      </w:r>
    </w:p>
    <w:p>
      <w:r>
        <w:rPr>
          <w:color w:val="555555"/>
          <w:sz w:val="17"/>
        </w:rPr>
        <w:t xml:space="preserve">Zitiervorschlag: § 8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