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WasMotRV — Übertragung von Befugnissen</w:t>
      </w:r>
    </w:p>
    <w:p>
      <w:r>
        <w:rPr>
          <w:color w:val="555555"/>
          <w:sz w:val="18"/>
        </w:rPr>
        <w:t xml:space="preserve">Wassermotorräder-Verordnung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Generaldirektion Wasserstraßen und Schifffahrt wird ermächtigt, durch Rechtsverordnung für einzelne zum Verkehr mit Wassermotorrädern freigegebene Wasserflächen von dieser Verordnung abweichende Regelungen zu treffen, insbesondere</w:t>
      </w:r>
    </w:p>
    <w:p>
      <w:pPr>
        <w:ind w:left="420"/>
      </w:pPr>
      <w:r>
        <w:t xml:space="preserve">1. abweichende zeitliche Befahrensverbote für Wassermotorräder festzulegen, soweit dies die örtlichen Verhältnisse gebieten oder zulassen, und</w:t>
      </w:r>
    </w:p>
    <w:p>
      <w:pPr>
        <w:ind w:left="420"/>
      </w:pPr>
      <w:r>
        <w:t xml:space="preserve">2. abweichende Höchstgeschwindigkeiten für Wassermotorräder zuzulassen, wenn dadurch der Zustand der Wasserstraße, einschließlich der Ufervegetation, und der übrige Schiffsverkehr nicht über Gebühr beeinträchtigt sowie schädliche Umwelteinwirkungen im Sinne des § 3 Abs. 1 des Bundes-Immissionsschutzgesetzes in der Fassung der Bekanntmachung vom 14. Mai 1990 (BGBl. I S. 880), zuletzt geändert durch Artikel 2 Abs. 5 des Gesetzes vom 23. November 1994 (BGBl. I S. 3486), nicht hervorgerufen werden.</w:t>
      </w:r>
    </w:p>
    <w:p>
      <w:r>
        <w:rPr>
          <w:color w:val="555555"/>
          <w:sz w:val="17"/>
        </w:rPr>
        <w:t xml:space="preserve">Zitiervorschlag: § 7 WasMotRV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https://recht.nulegal.eu/gesetze/WasMotRV/7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