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WasMotRV — Wassermotorradflächen</w:t>
      </w:r>
    </w:p>
    <w:p>
      <w:r>
        <w:rPr>
          <w:color w:val="555555"/>
          <w:sz w:val="18"/>
        </w:rPr>
        <w:t xml:space="preserve">Wassermotorräder-Verordnung</w:t>
      </w:r>
    </w:p>
    <w:p>
      <w:r>
        <w:rPr>
          <w:color w:val="555555"/>
          <w:sz w:val="18"/>
        </w:rPr>
        <w:t xml:space="preserve">Stand: 10.06.2019 (konsolidierte Textfassung, kein amtliches Inkrafttretensdatum)</w:t>
      </w:r>
    </w:p>
    <w:p>
      <w:r>
        <w:t xml:space="preserve">(1) Auf den durch das Tafelzeichen E.22 freigegebenen Wasserflächen darf mit Wassermotorrädern gefahren werden. Dabei dürfen die Fahrzeugführer durch ihre Fahrweise keinen anderen gefährden, die übrige Schiffahrt nicht behindern und andere Fahrzeuge, Ufer- oder Regelungsbauwerke, schwimmende oder feste Anlagen, Schiffahrtszeichen und Ufervegetation nicht beschädigen. Die Fahrzeugführer haben dazu die Geschwindigkeit ihrer Fahrzeuge rechtzeitig im erforderlichen Maße zu verringern und bei der Vorbeifahrt einen ausreichenden Abstand, der 10 Meter nicht unterschreiten darf, einzuhalten.</w:t>
      </w:r>
    </w:p>
    <w:p>
      <w:r>
        <w:t xml:space="preserve">(2) Zusätzliche dreieckige Tafeln und rechteckige Schilder zu dem Tafelzeichen nach Absatz 1 zeigen die Längen-, und soweit erforderlich, die Breitenbegrenzung der freigegebenen Wasserflächen an.</w:t>
      </w:r>
    </w:p>
    <w:p>
      <w:r>
        <w:t xml:space="preserve">(3) Eine Übersicht über die für das Fahren mit Wassermotorrädern freigegebenen Wasserflächen wird vom Bundesministerium für Verkehr und digitale Infrastruktur im Verkehrsblatt veröffentlicht.</w:t>
      </w:r>
    </w:p>
    <w:p>
      <w:r>
        <w:rPr>
          <w:color w:val="555555"/>
          <w:sz w:val="17"/>
        </w:rPr>
        <w:t xml:space="preserve">Zitiervorschlag: § 4 WasMotRV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https://recht.nulegal.eu/gesetze/WasMotRV/4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