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WasMotRV — Wassermotorradfahren</w:t>
      </w:r>
    </w:p>
    <w:p>
      <w:r>
        <w:rPr>
          <w:color w:val="555555"/>
          <w:sz w:val="18"/>
        </w:rPr>
        <w:t xml:space="preserve">Wassermotorräder-Verordnung</w:t>
      </w:r>
    </w:p>
    <w:p>
      <w:r>
        <w:rPr>
          <w:color w:val="555555"/>
          <w:sz w:val="18"/>
        </w:rPr>
        <w:t xml:space="preserve">Stand: 16.11.2019 (konsolidierte Textfassung, kein amtliches Inkrafttretensdatum)</w:t>
      </w:r>
    </w:p>
    <w:p>
      <w:r>
        <w:t xml:space="preserve">(1) Auf den Binnenschiffahrtsstraßen (§ 1 Nr. 1) ist das Fahren mit Wassermotorrädern außerhalb der durch das Tafelzeichen E.22 der Anlage 7 der Anlage zu Artikel 1 der Verordnung zur Einführung der Rheinschiffahrtspolizeiverordnung vom 19. Dezember 1994 (BGBl. II S. 3816) freigegebenen Wasserflächen verboten. Satz 1 gilt nicht für</w:t>
      </w:r>
    </w:p>
    <w:p>
      <w:pPr>
        <w:ind w:left="420"/>
      </w:pPr>
      <w:r>
        <w:t xml:space="preserve">1. Fahrten zum Erreichen einer freigegebenen Wasserfläche auf kürzestem Weg von der nächstgelegenen Einsetzstelle aus und für Wanderfahrten,</w:t>
      </w:r>
    </w:p>
    <w:p>
      <w:pPr>
        <w:ind w:left="420"/>
      </w:pPr>
      <w:r>
        <w:t xml:space="preserve">2. den Einsatz als ziehendes Fahrzeug im Sinne des § 3 Abs. 3 Satz 2 der Wasserskiverordnung auf den durch das Tafelzeichen E.17 (§ 1 Abs. 1 Satz 1 Nr. 1 der Wasserskiverordnung) freigegebenen Strecken und Wasserflächen,</w:t>
      </w:r>
    </w:p>
    <w:p>
      <w:pPr>
        <w:ind w:left="420"/>
      </w:pPr>
      <w:r>
        <w:t xml:space="preserve">3. Einsätze mit Dienstfahrzeugen der als gemeinnützig anerkannten Körperschaften und Diensteinsätze mit Dienstfahrzeugen des öffentlichen Dienstes.</w:t>
      </w:r>
    </w:p>
    <w:p>
      <w:r>
        <w:t xml:space="preserve">Satz 2 Nummer 1 gilt nur, wenn</w:t>
      </w:r>
    </w:p>
    <w:p>
      <w:pPr>
        <w:ind w:left="420"/>
      </w:pPr>
      <w:r>
        <w:t xml:space="preserve">a) ein klar erkennbarer Geradeauskurs eingehalten wird,</w:t>
      </w:r>
    </w:p>
    <w:p>
      <w:pPr>
        <w:ind w:left="420"/>
      </w:pPr>
      <w:r>
        <w:t xml:space="preserve">b) eine Wanderfahrt mit demselben oder weit überwiegenden Streckenverlauf der vorangegangenen Wanderfahrt mehr als eine Stunde nach Beendigung der vorangegangenen Wanderfahrt durchgeführt wird.</w:t>
      </w:r>
    </w:p>
    <w:p>
      <w:r>
        <w:t xml:space="preserve">Bei Einsätzen im Sinne des Satzes 2 Nummer 3 ist § 6 Absatz 1 Satz 1 nicht anzuwenden.</w:t>
      </w:r>
    </w:p>
    <w:p>
      <w:r>
        <w:t xml:space="preserve">(2) In den Fällen des Absatzes 1 Satz 2 und 3 darf durch die Fahrweise des Wassermotorrads kein anderer gefährdet oder mehr als nach den Umständen unvermeidbar behindert oder belästigt werden.</w:t>
      </w:r>
    </w:p>
    <w:p>
      <w:r>
        <w:rPr>
          <w:color w:val="555555"/>
          <w:sz w:val="17"/>
        </w:rPr>
        <w:t xml:space="preserve">Zitiervorschlag: § 3 WasMotRV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https://recht.nulegal.eu/gesetze/WasMotRV/3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