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WasMotRV — Sonstige anwendbare Vorschriften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in dieser Verordnung nichts Abweichendes bestimmt ist, gelten für das Fahren mit Wassermotorrädern</w:t>
      </w:r>
    </w:p>
    <w:p>
      <w:pPr>
        <w:ind w:left="420"/>
      </w:pPr>
      <w:r>
        <w:t xml:space="preserve">1. die Verkehrsordnungen (§ 1 Nr. 2),</w:t>
      </w:r>
    </w:p>
    <w:p>
      <w:pPr>
        <w:ind w:left="420"/>
      </w:pPr>
      <w:r>
        <w:t xml:space="preserve">2. die Sportbootführerscheinverordnung vom 3. Mai 2017 (BGBl. I S. 1016) in der jeweils geltenden Fassung,</w:t>
      </w:r>
    </w:p>
    <w:p>
      <w:pPr>
        <w:ind w:left="420"/>
      </w:pPr>
      <w:r>
        <w:t xml:space="preserve">3. die Verordnung über die Kennzeichnung von auf Binnenschiffahrtsstraßen verkehrenden Kleinfahrzeugen vom 21. Februar 1995 (BGBl. I S. 226), geändert durch § 9 dieser Verordnung,</w:t>
      </w:r>
    </w:p>
    <w:p>
      <w:pPr>
        <w:ind w:left="420"/>
      </w:pPr>
      <w:r>
        <w:t xml:space="preserve">4. die Wasserskiverordnung vom 17. Januar 1990 (BGBl. I S. 107), zuletzt geändert durch Artikel 10 der Verordnung vom 18. Dezember 2002 (BGBl. I S. 4580),</w:t>
      </w:r>
    </w:p>
    <w:p>
      <w:r>
        <w:t xml:space="preserve">in ihrer jeweils geltenden Fassung.</w:t>
      </w:r>
    </w:p>
    <w:p>
      <w:r>
        <w:rPr>
          <w:color w:val="555555"/>
          <w:sz w:val="17"/>
        </w:rPr>
        <w:t xml:space="preserve">Zitiervorschlag: § 2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