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WasKwV</w:t>
      </w:r>
    </w:p>
    <w:p>
      <w:r>
        <w:rPr>
          <w:color w:val="555555"/>
          <w:sz w:val="18"/>
        </w:rPr>
        <w:t xml:space="preserve">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der Reichsabgabenordnung wird im Einvernehmen mit dem Reichsminister des Innern und dem Generalinspektor für Wasser und Energie verordnet:</w:t>
      </w:r>
    </w:p>
    <w:p>
      <w:r>
        <w:rPr>
          <w:color w:val="555555"/>
          <w:sz w:val="17"/>
        </w:rPr>
        <w:t xml:space="preserve">Zitiervorschlag: Eingangsformel WasKwV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