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WasKwV — Absetzung für Abnutzung</w:t>
      </w:r>
    </w:p>
    <w:p>
      <w:r>
        <w:rPr>
          <w:color w:val="555555"/>
          <w:sz w:val="18"/>
        </w:rPr>
        <w:t xml:space="preserve">Verordnung über die steuerliche Begünstigung von Wasserkraftwerken</w:t>
      </w:r>
    </w:p>
    <w:p>
      <w:r>
        <w:rPr>
          <w:color w:val="555555"/>
          <w:sz w:val="18"/>
        </w:rPr>
        <w:t xml:space="preserve">Stand: 10.06.2019 (konsolidierte Textfassung, kein amtliches Inkrafttretensdatum)</w:t>
      </w:r>
    </w:p>
    <w:p>
      <w:r>
        <w:t xml:space="preserve">(1) Die Summe der Absetzungen für Abnutzung auf die Wirtschaftsgüter, die zu den steuerbegünstigten Anlagen gehören, muß für die gesamte Dauer der Steuerbegünstigung bei den Wasserkraftwerken mindestens 25 vom Hundert, bei den Fortleitungsanlagen (§ 2 Abs. 2) mindestens 40 vom Hundert der Anschaffungs- oder Herstellungskosten betragen.</w:t>
      </w:r>
    </w:p>
    <w:p>
      <w:r>
        <w:t xml:space="preserve">(2) Die Bundesregierung wird ermächtigt, mit Zustimmung des Bundesrates durch Rechtsverordnung zu bestimmen, wie der Gesamtbetrag der Absetzung für Abnutzung auf die einzelnen Jahre zu verteilen ist. Bleibt die Summe der Absetzungen für Abnutzung eines Jahres hinter dem danach maßgebenden Betrag zurück, so tritt die steuerliche Begünstigung für dieses Jahr nicht ein.</w:t>
      </w:r>
    </w:p>
    <w:p>
      <w:r>
        <w:rPr>
          <w:color w:val="555555"/>
          <w:sz w:val="17"/>
        </w:rPr>
        <w:t xml:space="preserve">Zitiervorschlag: § 7 WasKwV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https://recht.nulegal.eu/gesetze/WasKwV/7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