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WasKwV — Gewerbesteuer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einheitlichen Gewerbesteuermeßbeträge, die auf die steuerbegünstigten Anlagen entfallen, ermäßigen sich ab dem Betriebsbeginn für die Dauer von zwanzig Jahren auf die Hälfte der gesetzlichen Beträge.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6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