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WasKwV — Einkommensteuer und Körperschaftsteuer</w:t>
      </w:r>
    </w:p>
    <w:p>
      <w:r>
        <w:rPr>
          <w:color w:val="555555"/>
          <w:sz w:val="18"/>
        </w:rPr>
        <w:t xml:space="preserve">Verordnung über die steuerliche Begünstigung von Wasserkraftwerken</w:t>
      </w:r>
    </w:p>
    <w:p>
      <w:r>
        <w:rPr>
          <w:color w:val="555555"/>
          <w:sz w:val="18"/>
        </w:rPr>
        <w:t xml:space="preserve">Stand: 10.06.2019 (konsolidierte Textfassung, kein amtliches Inkrafttretensdatum)</w:t>
      </w:r>
    </w:p>
    <w:p>
      <w:r>
        <w:t xml:space="preserve">(1) Die Einkommensteuer oder die Körperschaftsteuer, die auf den Gewinn aus den steuerbegünstigten Anlagen entfällt, ermäßigt sich ab dem Betriebsbeginn für die Dauer von zwanzig Jahren auf die Hälfte der gesetzlichen Beträge.</w:t>
      </w:r>
    </w:p>
    <w:p>
      <w:r>
        <w:t xml:space="preserve">(2) Die Bundesregierung wird ermächtigt, mit Zustimmung des Bundesrates durch Rechtsverordnung Vorschriften über die Ermittlung des steuerbegünstigten Gewinns für den Fall zu erlassen, daß ein Unternehmen steuerbegünstigte und nicht steuerbegünstigte Anlagen unterhält.</w:t>
      </w:r>
    </w:p>
    <w:p>
      <w:r>
        <w:rPr>
          <w:color w:val="555555"/>
          <w:sz w:val="17"/>
        </w:rPr>
        <w:t xml:space="preserve">Zitiervorschlag: § 4 WasKwV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https://recht.nulegal.eu/gesetze/WasKwV/4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