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WasKwV — Voraussetzungen der steuerlichen Begünstigung</w:t>
      </w:r>
    </w:p>
    <w:p>
      <w:r>
        <w:rPr>
          <w:color w:val="555555"/>
          <w:sz w:val="18"/>
        </w:rPr>
        <w:t xml:space="preserve">Verordnung über die steuerliche Begünstigung von Wasserkraftwerken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steuerliche Begünstigung tritt nur ein, wenn der Baubeginn der Anlagen in die Zeit vom 1. Januar 1938 bis zum 31. Dezember 1990 fällt.</w:t>
      </w:r>
    </w:p>
    <w:p>
      <w:r>
        <w:rPr>
          <w:color w:val="555555"/>
          <w:sz w:val="17"/>
        </w:rPr>
        <w:t xml:space="preserve">Zitiervorschlag: § 3 WasKwV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https://recht.nulegal.eu/gesetze/WasKwV/3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