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WasKwV — Anwendungsvorschriften</w:t>
      </w:r>
    </w:p>
    <w:p>
      <w:r>
        <w:rPr>
          <w:color w:val="555555"/>
          <w:sz w:val="18"/>
        </w:rPr>
        <w:t xml:space="preserve">Verordnung über die steuerliche Begünstigung von Wasserkraftwerken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Bestimmungen dieser Verordnung sind erstmalig anzuwenden:</w:t>
      </w:r>
    </w:p>
    <w:p>
      <w:pPr>
        <w:ind w:left="420"/>
      </w:pPr>
      <w:r>
        <w:t xml:space="preserve">a) bei der Veranlagung zur Einkommensteuer und zur Körperschaftsteuer für das Kalenderjahr 1943;</w:t>
      </w:r>
    </w:p>
    <w:p>
      <w:pPr>
        <w:ind w:left="420"/>
      </w:pPr>
      <w:r>
        <w:t xml:space="preserve">b) bei der Veranlagung zur Vermögensteuer und zur Aufbringungsumlage für das Rechnungsjahr 1943;</w:t>
      </w:r>
    </w:p>
    <w:p>
      <w:pPr>
        <w:ind w:left="420"/>
      </w:pPr>
      <w:r>
        <w:t xml:space="preserve">c) bei der Festsetzung der einheitlichen Gewerbesteuermeßbeträge für das Kalenderjahr 1943.</w:t>
      </w:r>
    </w:p>
    <w:p>
      <w:r>
        <w:t xml:space="preserve">(2) ...</w:t>
      </w:r>
    </w:p>
    <w:p>
      <w:r>
        <w:t xml:space="preserve">(3) § 8 in der im Bundesgesetzblatt Teil III, Gliederungsnummer 610-6-2, veröffentlichten bereinigten Fassung ist letztmals für Wirtschaftsjahre anzuwenden, die vor dem 1. Januar 1984 enden.</w:t>
      </w:r>
    </w:p>
    <w:p>
      <w:r>
        <w:rPr>
          <w:color w:val="555555"/>
          <w:sz w:val="17"/>
        </w:rPr>
        <w:t xml:space="preserve">Zitiervorschlag: § 10 WasKwV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https://recht.nulegal.eu/gesetze/WasKwV/10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