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WasKwVÄndG</w:t>
      </w:r>
    </w:p>
    <w:p>
      <w:r>
        <w:rPr>
          <w:color w:val="555555"/>
          <w:sz w:val="18"/>
        </w:rPr>
        <w:t xml:space="preserve">Gesetz zur Änderung der Verordnung über die steuerliche Begünstigung von Wasserkraftwerken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WasKwVÄndG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https://recht.nulegal.eu/gesetze/WasKwV%C3%84ndG/3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