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WasEG (Nordrhein-Westfalen)</w:t>
      </w:r>
    </w:p>
    <w:p>
      <w:r>
        <w:rPr>
          <w:color w:val="555555"/>
          <w:sz w:val="18"/>
        </w:rPr>
        <w:t xml:space="preserve">Wasserentnahmeentgeltgesetz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Januar 2004</w:t>
      </w:r>
    </w:p>
    <w:p>
      <w:r>
        <w:t xml:space="preserve">(Artikel 7 des Gesetzes v. 27. 1. 2004 (GV. NRW. S. 30))</w:t>
      </w:r>
    </w:p>
    <w:p>
      <w:r>
        <w:rPr>
          <w:color w:val="555555"/>
          <w:sz w:val="17"/>
        </w:rPr>
        <w:t xml:space="preserve">Zitiervorschlag: Volltext WasEG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https://recht.nulegal.eu/gesetze/WasEG/volltext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