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WasEG (Nordrhein-Westfalen) — Verwendung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 dem Aufkommen des Wasserentnahmeentgelts wird vorweg der durch den Vollzug dieses Gesetzes entstehende Verwaltungsaufwand (Personal- und Sachaufwand) gedeckt.</w:t>
      </w:r>
    </w:p>
    <w:p>
      <w:r>
        <w:t xml:space="preserve">(2) Der Aufwand, der aus der Umsetzung der EU-Wasserrahmenrichtlinie resultiert, wird ab 2006 aus dem Aufkommen gedeckt.</w:t>
      </w:r>
    </w:p>
    <w:p>
      <w:r>
        <w:t xml:space="preserve">(3) Aus dem Aufkommen werden Mittel für Aufgaben der Altlastensanierung und Altlastenaufbereitung zur Verfügung gestellt.</w:t>
      </w:r>
    </w:p>
    <w:p>
      <w:r>
        <w:t xml:space="preserve">(4) Das verbleibende Aufkommen steht dem Land zur Verfügung.</w:t>
      </w:r>
    </w:p>
    <w:p>
      <w:r>
        <w:rPr>
          <w:color w:val="555555"/>
          <w:sz w:val="17"/>
        </w:rPr>
        <w:t xml:space="preserve">Zitiervorschlag: § 9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