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WasEG (Nordrhein-Westfalen) — Einziehen des Entgelts,Stundung, Erlass, Niederschlagung</w:t>
      </w:r>
    </w:p>
    <w:p>
      <w:r>
        <w:rPr>
          <w:color w:val="555555"/>
          <w:sz w:val="18"/>
        </w:rPr>
        <w:t xml:space="preserve">Wasserentnahmeentgeltgesetz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Wasserentnahmeentgelt wird von der zuständigen Behörde eingezogen.</w:t>
      </w:r>
    </w:p>
    <w:p>
      <w:r>
        <w:t xml:space="preserve">(2) Die zuständige Behörde kann das Wasserentnahmeentgelt</w:t>
      </w:r>
    </w:p>
    <w:p>
      <w:r>
        <w:t xml:space="preserve">1. ganz oder teilweise stunden, wenn die Einziehung bei Fälligkeit eine erhebliche Härte für den Entgeltpflichtigen bedeuten würde und der Anspruch durch die Stundung nicht gefährdet erscheint,</w:t>
      </w:r>
    </w:p>
    <w:p>
      <w:r>
        <w:t xml:space="preserve">2. ganz oder teilweise erlassen, wenn deren Einziehung nach Lage des einzelnen Falls unbillig wäre; unter den gleichen Voraussetzungen können bereits entrichtete Beträge erstattet oder angerechnet werden,</w:t>
      </w:r>
    </w:p>
    <w:p>
      <w:r>
        <w:t xml:space="preserve">3. niederschlagen, wenn feststeht, dass die Einziehung keinen Erfolg haben wird, oder wenn die Kosten der Einziehung außer Verhältnis zur Höhe des Anspruchs stehen.</w:t>
      </w:r>
    </w:p>
    <w:p>
      <w:r>
        <w:t xml:space="preserve">(3) 1Bezugsgegenstand für die Beurteilung der erheblichen Härte im Sinne des Absatz 2 Nr. 1 und der Unbilligkeit im Sinne des Absatz 2 Nr. 2 ist im Falle eines Konzern die jeweilige Konzerngesellschaft. 2Darüber hinaus soll die zuständige Behörde die Auswirkungen einer Erhebung für den betrieblichen Standort bei der Beurteilung des Einzelfalles angemessen berücksichtigen.</w:t>
      </w:r>
    </w:p>
    <w:p>
      <w:r>
        <w:rPr>
          <w:color w:val="555555"/>
          <w:sz w:val="17"/>
        </w:rPr>
        <w:t xml:space="preserve">Zitiervorschlag: § 5 WasEG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https://recht.nulegal.eu/gesetze/WasEG/5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