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WasEG (Nordrhein-Westfalen) — Bemessungsgrundlage, Entgeltsatz</w:t>
      </w:r>
    </w:p>
    <w:p>
      <w:r>
        <w:rPr>
          <w:color w:val="555555"/>
          <w:sz w:val="18"/>
        </w:rPr>
        <w:t xml:space="preserve">Wasserentnahmeentgeltgesetz des Landes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Wasserentnahmeentgelt bemisst sich nach der vom Entgeltpflichtigen entnommenen Wassermenge.</w:t>
      </w:r>
    </w:p>
    <w:p>
      <w:r>
        <w:t xml:space="preserve">(2) Das Wasserentnahmeentgelt beträgt 5 cent/m3. Für Entnahmen zum Zwecke der Kühlwassernutzung beträgt es 3,5 cent/m3. Für Entnahmen, die ausschließlich der Kühlwassernutzung dienen, bei denen das Wasser dem Gewässer unmittelbar wieder zugeführt wird (Durchlaufkühlung) beträgt das Wasserentnahmeentgelt 0,35 cent/m3.</w:t>
      </w:r>
    </w:p>
    <w:p>
      <w:r>
        <w:rPr>
          <w:color w:val="555555"/>
          <w:sz w:val="17"/>
        </w:rPr>
        <w:t xml:space="preserve">Zitiervorschlag: § 2 WasEG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https://recht.nulegal.eu/gesetze/WasEG/2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