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WasEG (Nordrhein-Westfalen) — Berichtspflicht</w:t>
      </w:r>
    </w:p>
    <w:p>
      <w:r>
        <w:rPr>
          <w:color w:val="555555"/>
          <w:sz w:val="18"/>
        </w:rPr>
        <w:t xml:space="preserve">Wasserentnahmeentgeltgesetz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 die Erfahrungen mit diesem Gesetz ist dem Landtag bis zum 31. Dezember 2018 zu berichten.</w:t>
      </w:r>
    </w:p>
    <w:p>
      <w:r>
        <w:t xml:space="preserve">In-Kraft-Treten</w:t>
      </w:r>
    </w:p>
    <w:p>
      <w:r>
        <w:t xml:space="preserve">(Artikel 12 Abs. 3 des Gesetzes v. 27. 1. 2004 (GV. NRW. S. 30))</w:t>
      </w:r>
    </w:p>
    <w:p>
      <w:r>
        <w:t xml:space="preserve">Artikel 7 tritt am 1. Februar 2004 in Kraft.</w:t>
      </w:r>
    </w:p>
    <w:p>
      <w:r>
        <w:rPr>
          <w:color w:val="555555"/>
          <w:sz w:val="17"/>
        </w:rPr>
        <w:t xml:space="preserve">Zitiervorschlag: § 12 WasEG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https://recht.nulegal.eu/gesetze/WasEG/12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