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WasEG (Nordrhein-Westfalen) — Straf- und Bußgeldvorschriften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Hinterziehung des Wasserentnahmeentgelts sind die Strafvorschriften des § 370 Abs. 1, 2 und 4, des § 371 und des § 376 der Abgabenordnung über die Steuerhinterziehung anzuwenden.</w:t>
      </w:r>
    </w:p>
    <w:p>
      <w:r>
        <w:t xml:space="preserve">(2) Ordnungswidrig handelt, wer als Entgeltpflichtiger die Hinterziehung nach Absatz 1 leichtfertig begeht; § 370 Abs. 4 und § 378 Abs. 2 und 3 der Abgabenordnung gelten entsprechend.</w:t>
      </w:r>
    </w:p>
    <w:p>
      <w:r>
        <w:rPr>
          <w:color w:val="555555"/>
          <w:sz w:val="17"/>
        </w:rPr>
        <w:t xml:space="preserve">Zitiervorschlag: § 11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