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WasBauPrV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„Grundlegende 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jeder der beiden schriftlichen Situationsaufgaben und</w:t>
      </w:r>
    </w:p>
    <w:p>
      <w:pPr>
        <w:ind w:left="780"/>
      </w:pPr>
      <w:r>
        <w:t xml:space="preserve">b) im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„Grundlegende 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Situationsaufgabe, in der eine mündliche Ergänzungsprüfung durchgeführt wurde.</w:t>
      </w:r>
    </w:p>
    <w:p>
      <w:r>
        <w:t xml:space="preserve">(3) Den einzelnen Bewertungen für den Prüfungsteil „Grundlegende Qualifikationen“, für die beiden Situationsaufgaben und für das Fachgespräch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„Grundlegende 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