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WasBauPrV — Umfang der 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Wasserbaumeister/zur Geprüften Wasserbaumeisterin umfasst:</w:t>
      </w:r>
    </w:p>
    <w:p>
      <w:pPr>
        <w:ind w:left="420"/>
      </w:pPr>
      <w:r>
        <w:t xml:space="preserve">1. Grundlegende Qualifikationen,</w:t>
      </w:r>
    </w:p>
    <w:p>
      <w:pPr>
        <w:ind w:left="420"/>
      </w:pPr>
      <w:r>
        <w:t xml:space="preserve">2. Handlungsspezifische Qualifikationen,</w:t>
      </w:r>
    </w:p>
    <w:p>
      <w:pPr>
        <w:ind w:left="420"/>
      </w:pPr>
      <w:r>
        <w:t xml:space="preserve">3. Berufs- und arbeitspädagogische Qualifikationen.</w:t>
      </w:r>
    </w:p>
    <w:p>
      <w:r>
        <w:t xml:space="preserve">(2) Der Erwerb der berufs- und arbeitspädagogischen Qualifikationen nach der Ausbilder-Eignungsverordnung nach dem Berufsbildungsgesetz oder auf Grund einer anderen öffentlich-rechtlichen Regelung, wenn die nachgewiesenen Kenntnisse den Anforderungen nach den §§ 2 bis 4 der Ausbilder-Eignungsverordnung gleichwertig sind, ist nachzuweisen. Der Nachweis ist vor Beginn der letzten Prüfungsleistung zu erbringen.</w:t>
      </w:r>
    </w:p>
    <w:p>
      <w:r>
        <w:t xml:space="preserve">(3) Die Prüfung zum Geprüften Wasserbaumeister/zur Geprüften Wasserbaumeisterin gliedert sich in die Prüfungsteile:</w:t>
      </w:r>
    </w:p>
    <w:p>
      <w:pPr>
        <w:ind w:left="420"/>
      </w:pPr>
      <w:r>
        <w:t xml:space="preserve">1. Grundlegende Qualifikationen und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nach § 4 zu prüfen.</w:t>
      </w:r>
    </w:p>
    <w:p>
      <w:r>
        <w:t xml:space="preserve">(5) Im Prüfungsteil nach Absatz 3 Nr. 2 ist schriftlich und mündlich in Form von handlungsspezifischen Aufgabenstellungen nach § 5 zu prüfen.</w:t>
      </w:r>
    </w:p>
    <w:p>
      <w:r>
        <w:rPr>
          <w:color w:val="555555"/>
          <w:sz w:val="17"/>
        </w:rPr>
        <w:t xml:space="preserve">Zitiervorschlag: § 2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