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WarnowMautHV</w:t>
      </w:r>
    </w:p>
    <w:p>
      <w:r>
        <w:rPr>
          <w:color w:val="555555"/>
          <w:sz w:val="18"/>
        </w:rPr>
        <w:t xml:space="preserve">Warnow-Tunnel-Mauthöheverordnung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3a Abs. 2 Satz 1 in Verbindung mit § 3 Abs. 2 bis 5 des Fernstraßenbauprivatfinanzierungsgesetzes in der Fassung der Bekanntmachung vom 20. Januar 2003 (BGBl. I S. 98) verordnet das Bundesministerium für Verkehr, Bau- und Wohnungswesen nach Anhörung des Wirtschaftsministeriums des Landes Mecklenburg-Vorpommern:</w:t>
      </w:r>
    </w:p>
    <w:p>
      <w:r>
        <w:rPr>
          <w:color w:val="555555"/>
          <w:sz w:val="17"/>
        </w:rPr>
        <w:t xml:space="preserve">Zitiervorschlag: Eingangsformel WarnowMautHV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https://recht.nulegal.eu/gesetze/WarnowMautHV/eingangsformel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