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WarnowMautHV — Inkrafttreten</w:t>
      </w:r>
    </w:p>
    <w:p>
      <w:r>
        <w:rPr>
          <w:color w:val="555555"/>
          <w:sz w:val="18"/>
        </w:rPr>
        <w:t xml:space="preserve">Warnow-Tunnel-Mauthöheverordnung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WarnowMautHV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https://recht.nulegal.eu/gesetze/WarnowMautHV/3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