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WarnowMautHV — Mauthöhe</w:t>
      </w:r>
    </w:p>
    <w:p>
      <w:r>
        <w:rPr>
          <w:color w:val="555555"/>
          <w:sz w:val="18"/>
        </w:rPr>
        <w:t xml:space="preserve">Warnow-Tunnel-Mauthöheverordnung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jede einfache Benutzung des Abschnittes der Bundesstraße B 103n zwischen Kilometer 1 + 040 und Kilometer 3 + 160 (Warnow-Tunnel im Stadtgebiet der Hansestadt Rostock) wird von der Warnowquerung GmbH &amp; Co. KG, Rostock, die vom Wirtschaftsministerium des Landes Mecklenburg-Vorpommern durch die Verordnung zur Beleihung mit dem Recht zur Erhebung von Mautgebühren für die Warnowquerung vom 1. April 2003 (GVBl. M-V S. 280) beliehen worden ist, eine Maut nach dem Mautverzeichnis in der Anlage erhoben.</w:t>
      </w:r>
    </w:p>
    <w:p>
      <w:r>
        <w:rPr>
          <w:color w:val="555555"/>
          <w:sz w:val="17"/>
        </w:rPr>
        <w:t xml:space="preserve">Zitiervorschlag: § 1 WarnowMautHV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https://recht.nulegal.eu/gesetze/WarnowMautHV/1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