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WappenVO (Sachsen) — In-Kraft-Treten und Außer-Kraft-Treten</w:t>
      </w:r>
    </w:p>
    <w:p>
      <w:r>
        <w:rPr>
          <w:color w:val="555555"/>
          <w:sz w:val="18"/>
        </w:rPr>
        <w:t xml:space="preserve">Wappenverordnung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Gleichzeitig tritt die Verordnung der Sächsischen Staatsregierung über die Verwendung des Staatswappens ( WappenVO ) in der Fassung der Bekanntmachung vom 14. Februar 1995 (SächsGVBl. S. 98), geändert durch Verordnung vom 21. Januar 1997 (SächsGVBl. S. 69) außer Kraft.</w:t>
      </w:r>
    </w:p>
    <w:p>
      <w:r>
        <w:t xml:space="preserve">Dresden, den 4. März 2005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rPr>
          <w:color w:val="555555"/>
          <w:sz w:val="17"/>
        </w:rPr>
        <w:t xml:space="preserve">Zitiervorschlag: § 9 WappenVO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https://recht.nulegal.eu/gesetze/WappenVO/9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