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WappenVO (Sachsen) — Verwendung des Wappens</w:t>
      </w:r>
    </w:p>
    <w:p>
      <w:r>
        <w:rPr>
          <w:color w:val="555555"/>
          <w:sz w:val="18"/>
        </w:rPr>
        <w:t xml:space="preserve">Wappenverordnung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Es steht jedermann frei, das Wappen zu künstlerischen oder wissenschaftlichen Zwecken zu verwenden.</w:t>
      </w:r>
    </w:p>
    <w:p>
      <w:r>
        <w:t xml:space="preserve">(2) Jede andere Verwendung des Wappens, insbesondere zu kommerziellen Zwecken, bedarf der Genehmigung durch die Staatskanzlei.</w:t>
      </w:r>
    </w:p>
    <w:p>
      <w:r>
        <w:rPr>
          <w:color w:val="555555"/>
          <w:sz w:val="17"/>
        </w:rPr>
        <w:t xml:space="preserve">Zitiervorschlag: § 3 WappenVO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https://recht.nulegal.eu/gesetze/WappenVO/3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