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WappenVO (Sachsen) — Wappenführende Stellen</w:t>
      </w:r>
    </w:p>
    <w:p>
      <w:r>
        <w:rPr>
          <w:color w:val="555555"/>
          <w:sz w:val="18"/>
        </w:rPr>
        <w:t xml:space="preserve">Wappenverordnung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Wappen des Freistaates Sachsen führen</w:t>
      </w:r>
    </w:p>
    <w:p>
      <w:r>
        <w:t xml:space="preserve">1. die Staatsregierung und der Ministerpräsident,</w:t>
      </w:r>
    </w:p>
    <w:p>
      <w:r>
        <w:t xml:space="preserve">2. der Präsident sowie die Mitglieder des Landtages,</w:t>
      </w:r>
    </w:p>
    <w:p>
      <w:r>
        <w:t xml:space="preserve">3. die Behörden, Gerichte und sonstigen Einrichtungen des Freistaates Sachsen,</w:t>
      </w:r>
    </w:p>
    <w:p>
      <w:r>
        <w:t xml:space="preserve">4. die Notare des Freistaates Sachsen, die Ländernotarkasse und die Notarkammer Sachsen.</w:t>
      </w:r>
    </w:p>
    <w:p>
      <w:r>
        <w:t xml:space="preserve">(2) Die Staatskanzlei entscheidet in Einzelfällen über die Führung des Wappens.</w:t>
      </w:r>
    </w:p>
    <w:p>
      <w:r>
        <w:rPr>
          <w:color w:val="555555"/>
          <w:sz w:val="17"/>
        </w:rPr>
        <w:t xml:space="preserve">Zitiervorschlag: § 1 WappenVO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https://recht.nulegal.eu/gesetze/WappenVO/1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