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WappenG (Bayern)</w:t>
      </w:r>
    </w:p>
    <w:p>
      <w:r>
        <w:rPr>
          <w:color w:val="555555"/>
          <w:sz w:val="18"/>
        </w:rPr>
        <w:t xml:space="preserve">Gesetz über das Wappen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8. Dezember 1946 in Kraft.</w:t>
      </w:r>
    </w:p>
    <w:p>
      <w:r>
        <w:t xml:space="preserve">[Amtl. Anm.:] Betrifft die ursprüngliche Fassung vom 5. Juni 1950 (Nr. 24 des Gesetz- und Verordnungsblattes vom 2. November 1950, S. 207).</w:t>
      </w:r>
    </w:p>
    <w:p>
      <w:r>
        <w:rPr>
          <w:color w:val="555555"/>
          <w:sz w:val="17"/>
        </w:rPr>
        <w:t xml:space="preserve">Zitiervorschlag: Art 3 WappenG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