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WaldVerzV (Brandenburg) — Nutzung des Waldverzeichnisses</w:t>
      </w:r>
    </w:p>
    <w:p>
      <w:r>
        <w:rPr>
          <w:color w:val="555555"/>
          <w:sz w:val="18"/>
        </w:rPr>
        <w:t xml:space="preserve">Waldverzeichnisverordnung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Waldverzeichnis wird von den unteren Forstbehörden</w:t>
      </w:r>
    </w:p>
    <w:p>
      <w:r>
        <w:t xml:space="preserve">geführt.</w:t>
      </w:r>
    </w:p>
    <w:p>
      <w:r>
        <w:t xml:space="preserve">(2) Akteneinsicht ist jedermann auf der Grundlage des Akteneinsichts- und</w:t>
      </w:r>
    </w:p>
    <w:p>
      <w:r>
        <w:t xml:space="preserve">Informationszugangsgesetzes zu gewähren. Die Forstbehörde stellt dem</w:t>
      </w:r>
    </w:p>
    <w:p>
      <w:r>
        <w:t xml:space="preserve">Antragsteller Auszüge aus dem Waldverzeichnis zur Verfügung. Durch</w:t>
      </w:r>
    </w:p>
    <w:p>
      <w:r>
        <w:t xml:space="preserve">den Antragsteller sind die Kosten für die Erstellung der Auszüge zu</w:t>
      </w:r>
    </w:p>
    <w:p>
      <w:r>
        <w:t xml:space="preserve">erstatten.</w:t>
      </w:r>
    </w:p>
    <w:p>
      <w:r>
        <w:rPr>
          <w:color w:val="555555"/>
          <w:sz w:val="17"/>
        </w:rPr>
        <w:t xml:space="preserve">Zitiervorschlag: § 2 WaldVerzV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https://recht.nulegal.eu/gesetze/WaldVerzV/2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