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WaldVerzV (Brandenburg) — Aufstellung und Führung des Waldverzeichnisses</w:t>
      </w:r>
    </w:p>
    <w:p>
      <w:r>
        <w:rPr>
          <w:color w:val="555555"/>
          <w:sz w:val="18"/>
        </w:rPr>
        <w:t xml:space="preserve">Waldverzeichnisverordnung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Waldverzeichnis enthält für jede Waldfläche</w:t>
      </w:r>
    </w:p>
    <w:p>
      <w:r>
        <w:t xml:space="preserve">gemäß § 2 des Waldgesetzes des Landes Brandenburg Angaben</w:t>
      </w:r>
    </w:p>
    <w:p>
      <w:r>
        <w:t xml:space="preserve">(Sach- und Geometriedaten) über:</w:t>
      </w:r>
    </w:p>
    <w:p>
      <w:r>
        <w:t xml:space="preserve">ihre Lage und katastermäßige Bezeichnung (Gemarkung, Flur,</w:t>
      </w:r>
    </w:p>
    <w:p>
      <w:r>
        <w:t xml:space="preserve">Flurstück),</w:t>
      </w:r>
    </w:p>
    <w:p>
      <w:r>
        <w:t xml:space="preserve">den Waldeigentümer und den Nutzungsberechtigten,</w:t>
      </w:r>
    </w:p>
    <w:p>
      <w:r>
        <w:t xml:space="preserve">die Lage und die Bezeichnung nach forstlicher Flächeneinteilung.</w:t>
      </w:r>
    </w:p>
    <w:p>
      <w:r>
        <w:t xml:space="preserve">Grundlage für die Angaben nach Satz 1 Nr. 1 und 2 sind das</w:t>
      </w:r>
    </w:p>
    <w:p>
      <w:r>
        <w:t xml:space="preserve">Automatisierte Liegenschaftsbuch und die Automatisierte Liegenschaftskarte der</w:t>
      </w:r>
    </w:p>
    <w:p>
      <w:r>
        <w:t xml:space="preserve">Katasterverwaltungen des Landes Brandenburg. Zur Erfassung der forstlichen</w:t>
      </w:r>
    </w:p>
    <w:p>
      <w:r>
        <w:t xml:space="preserve">Flächeneinteilung können die Waldbesitzer entsprechende Angaben</w:t>
      </w:r>
    </w:p>
    <w:p>
      <w:r>
        <w:t xml:space="preserve">machen.</w:t>
      </w:r>
    </w:p>
    <w:p>
      <w:r>
        <w:t xml:space="preserve">(2) Die Sach- und Geometriedaten des Waldverzeichnisses werden elektronisch</w:t>
      </w:r>
    </w:p>
    <w:p>
      <w:r>
        <w:t xml:space="preserve">mittels zentraler Verfahren geführt. In diesen Verfahren wird die</w:t>
      </w:r>
    </w:p>
    <w:p>
      <w:r>
        <w:t xml:space="preserve">Einhaltung der datenschutzrechtlichen Regelungen gewährleistet.</w:t>
      </w:r>
    </w:p>
    <w:p>
      <w:r>
        <w:t xml:space="preserve">(3) Die Aktualisierung der Angaben nach Absatz 1 Satz 1 Nr. 1 und 2 erfolgt</w:t>
      </w:r>
    </w:p>
    <w:p>
      <w:r>
        <w:t xml:space="preserve">durch periodischen Datenaustausch mit den Katasterverwaltungen. Für die</w:t>
      </w:r>
    </w:p>
    <w:p>
      <w:r>
        <w:t xml:space="preserve">Aktualisierung der Angaben nach Absatz 1 Satz 1 Nr. 3 sind die</w:t>
      </w:r>
    </w:p>
    <w:p>
      <w:r>
        <w:t xml:space="preserve">Forstbehörden des Landes und ihre Einrichtungen zuständig, sofern die</w:t>
      </w:r>
    </w:p>
    <w:p>
      <w:r>
        <w:t xml:space="preserve">Waldbesitzer keine entsprechenden Angaben gemacht haben.</w:t>
      </w:r>
    </w:p>
    <w:p>
      <w:r>
        <w:rPr>
          <w:color w:val="555555"/>
          <w:sz w:val="17"/>
        </w:rPr>
        <w:t xml:space="preserve">Zitiervorschlag: § 1 WaldVerzV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https://recht.nulegal.eu/gesetze/WaldVerzV/1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