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WaldSperrV (Brandenburg) — Übergangsvorschrift</w:t>
      </w:r>
    </w:p>
    <w:p>
      <w:r>
        <w:rPr>
          <w:color w:val="555555"/>
          <w:sz w:val="18"/>
        </w:rPr>
        <w:t xml:space="preserve">Waldsperrungsverordnung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Schilder, die vor In-Kraft-Treten dieser Verordnung zur Sperrung von Wald</w:t>
      </w:r>
    </w:p>
    <w:p>
      <w:r>
        <w:t xml:space="preserve">oder zur Kenntlichmachung gesetzlicher Betretungs- oder Fahrverbote im Wald</w:t>
      </w:r>
    </w:p>
    <w:p>
      <w:r>
        <w:t xml:space="preserve">aufgestellt wurden, dürfen bis fünf Jahre nach In-Kraft-Treten dieser</w:t>
      </w:r>
    </w:p>
    <w:p>
      <w:r>
        <w:t xml:space="preserve">Verordnung verwendet werden, sofern ihr Inhalt den Bestimmungen des</w:t>
      </w:r>
    </w:p>
    <w:p>
      <w:r>
        <w:t xml:space="preserve">Waldgesetzes des Landes Brandenburg nicht widerspricht.</w:t>
      </w:r>
    </w:p>
    <w:p>
      <w:r>
        <w:rPr>
          <w:color w:val="555555"/>
          <w:sz w:val="17"/>
        </w:rPr>
        <w:t xml:space="preserve">Zitiervorschlag: § 5 WaldSperrV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https://recht.nulegal.eu/gesetze/WaldSperrV/5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