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WaldSperrV (Brandenburg) — Gesetzliche Betretungs- und Fahrverbote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unteren Forstbehörden haben auf gesetzliche Betretungs- oder</w:t>
      </w:r>
    </w:p>
    <w:p>
      <w:r>
        <w:t xml:space="preserve">Fahrverbote gemäß dem Waldgesetz des Landes Brandenburg durch</w:t>
      </w:r>
    </w:p>
    <w:p>
      <w:r>
        <w:t xml:space="preserve">Schilder hinzuweisen, wenn dies für deren Durchsetzung geboten ist. Die</w:t>
      </w:r>
    </w:p>
    <w:p>
      <w:r>
        <w:t xml:space="preserve">hierfür zu verwendenden Schilder werden durch Verwaltungsvorschrift der</w:t>
      </w:r>
    </w:p>
    <w:p>
      <w:r>
        <w:t xml:space="preserve">obersten Forstbehörde bekannt gemacht. § 3 Abs. 3 gilt entsprechend.</w:t>
      </w:r>
    </w:p>
    <w:p>
      <w:r>
        <w:rPr>
          <w:color w:val="555555"/>
          <w:sz w:val="17"/>
        </w:rPr>
        <w:t xml:space="preserve">Zitiervorschlag: § 4 WaldSperrV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https://recht.nulegal.eu/gesetze/WaldSperrV/4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