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WaldSperrV (Brandenburg) — Art und Umfang der Kenntlichmachung</w:t>
      </w:r>
    </w:p>
    <w:p>
      <w:r>
        <w:rPr>
          <w:color w:val="555555"/>
          <w:sz w:val="18"/>
        </w:rPr>
        <w:t xml:space="preserve">Waldsperrungsverordnung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Sperrung von Wald ist neben der Bekanntmachung gemäß</w:t>
      </w:r>
    </w:p>
    <w:p>
      <w:r>
        <w:t xml:space="preserve">§ 2 Abs. 3 durch geeignete Maßnahmen und Instrumente, insbesondere</w:t>
      </w:r>
    </w:p>
    <w:p>
      <w:r>
        <w:t xml:space="preserve">Schilder, im erforderlichen Umfang für jedermann im Wald kenntlich zu</w:t>
      </w:r>
    </w:p>
    <w:p>
      <w:r>
        <w:t xml:space="preserve">machen. Die hierfür zulässigen Schilder werden durch</w:t>
      </w:r>
    </w:p>
    <w:p>
      <w:r>
        <w:t xml:space="preserve">Verwaltungsvorschrift der obersten Forstbehörde bekannt gemacht.</w:t>
      </w:r>
    </w:p>
    <w:p>
      <w:r>
        <w:t xml:space="preserve">(2) Die untere Forstbehörde macht die Sperrung kenntlich.</w:t>
      </w:r>
    </w:p>
    <w:p>
      <w:r>
        <w:t xml:space="preserve">(3) Die Waldbesitzer haben die Maßnahmen der Kenntlichmachung zu</w:t>
      </w:r>
    </w:p>
    <w:p>
      <w:r>
        <w:t xml:space="preserve">dulden.</w:t>
      </w:r>
    </w:p>
    <w:p>
      <w:r>
        <w:t xml:space="preserve">(4) Nach Wegfall des Sperrgrundes, Ablauf der Befristung der Sperrung sowie</w:t>
      </w:r>
    </w:p>
    <w:p>
      <w:r>
        <w:t xml:space="preserve">nach Aufhebung der Sperrung ist die Kenntlichmachung unverzüglich zu</w:t>
      </w:r>
    </w:p>
    <w:p>
      <w:r>
        <w:t xml:space="preserve">entfernen.</w:t>
      </w:r>
    </w:p>
    <w:p>
      <w:r>
        <w:rPr>
          <w:color w:val="555555"/>
          <w:sz w:val="17"/>
        </w:rPr>
        <w:t xml:space="preserve">Zitiervorschlag: § 3 WaldSperrV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https://recht.nulegal.eu/gesetze/WaldSperrV/3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