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WaldSperrV (Brandenburg) — Zulässigkeit von Sperrungen</w:t>
      </w:r>
    </w:p>
    <w:p>
      <w:r>
        <w:rPr>
          <w:color w:val="555555"/>
          <w:sz w:val="18"/>
        </w:rPr>
        <w:t xml:space="preserve">Waldsperrungsverordnung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Sperren von Wald schränkt das allgemeine Betretungsrecht nach</w:t>
      </w:r>
    </w:p>
    <w:p>
      <w:r>
        <w:t xml:space="preserve">§ 15 des Waldgesetzes des Landes Brandenburg ein. Im Rahmen des</w:t>
      </w:r>
    </w:p>
    <w:p>
      <w:r>
        <w:t xml:space="preserve">vorgeschriebenen Genehmigungsverfahrens hat die zuständige untere</w:t>
      </w:r>
    </w:p>
    <w:p>
      <w:r>
        <w:t xml:space="preserve">Forstbehörde zwischen den Rechten und Pflichten des Waldbesitzers sowie</w:t>
      </w:r>
    </w:p>
    <w:p>
      <w:r>
        <w:t xml:space="preserve">denen der Waldbesucher abzuwägen. Eine Waldsperrung ist zulässig,</w:t>
      </w:r>
    </w:p>
    <w:p>
      <w:r>
        <w:t xml:space="preserve">wenn sie verhältnismäßig, dass heißt</w:t>
      </w:r>
    </w:p>
    <w:p>
      <w:r>
        <w:t xml:space="preserve">angemessen,</w:t>
      </w:r>
    </w:p>
    <w:p>
      <w:r>
        <w:t xml:space="preserve">geeignet und</w:t>
      </w:r>
    </w:p>
    <w:p>
      <w:r>
        <w:t xml:space="preserve">erforderlich</w:t>
      </w:r>
    </w:p>
    <w:p>
      <w:r>
        <w:t xml:space="preserve">ist, um Gefahren oder erhebliche Beeinträchtigungen für den Wald,</w:t>
      </w:r>
    </w:p>
    <w:p>
      <w:r>
        <w:t xml:space="preserve">den Waldbesucher oder den Waldbesitzer abzuwenden.</w:t>
      </w:r>
    </w:p>
    <w:p>
      <w:r>
        <w:t xml:space="preserve">(2) Das Sperren von Wald kann sich auf Waldgebiete, auf bestimmte</w:t>
      </w:r>
    </w:p>
    <w:p>
      <w:r>
        <w:t xml:space="preserve">Waldflächen abseits von Wegen (Wegegebot) oder auf bestimmte</w:t>
      </w:r>
    </w:p>
    <w:p>
      <w:r>
        <w:t xml:space="preserve">Betretungsarten beziehen.</w:t>
      </w:r>
    </w:p>
    <w:p>
      <w:r>
        <w:t xml:space="preserve">(3) Ab Waldbrandgefahrenstufe 4 (hohe Waldbrandgefahr) in Waldgebieten der</w:t>
      </w:r>
    </w:p>
    <w:p>
      <w:r>
        <w:t xml:space="preserve">Waldbrandgefahrenklasse A1 und bei Waldbrandgefahrenstufe 5 (sehr hohe Waldbrandgefahr) in Waldgebieten der Waldbrandgefahrenklasse A</w:t>
      </w:r>
    </w:p>
    <w:p>
      <w:r>
        <w:t xml:space="preserve">ist der Wald für das Betreten zu sperren, wenn es zum Schutz des Waldes oder</w:t>
      </w:r>
    </w:p>
    <w:p>
      <w:r>
        <w:t xml:space="preserve">seiner Besucher notwendig ist.</w:t>
      </w:r>
    </w:p>
    <w:p>
      <w:r>
        <w:t xml:space="preserve">(4) Zum Schutz des Waldes vor gesetzwidrigem Befahren mit Kraftfahrzeugen</w:t>
      </w:r>
    </w:p>
    <w:p>
      <w:r>
        <w:t xml:space="preserve">sind in davon besonders betroffenen Gebieten Waldwege durch verschlossene</w:t>
      </w:r>
    </w:p>
    <w:p>
      <w:r>
        <w:t xml:space="preserve">Schranken für das Befahren zu sperren, wenn der rechtmäßige</w:t>
      </w:r>
    </w:p>
    <w:p>
      <w:r>
        <w:t xml:space="preserve">Zustand nicht auf anderem Wege hergestellt werden kann. Absatz 1 bleibt hiervon</w:t>
      </w:r>
    </w:p>
    <w:p>
      <w:r>
        <w:t xml:space="preserve">unberührt. Eine Befahrung des in § 16 Abs. 1 des Waldgesetzes des</w:t>
      </w:r>
    </w:p>
    <w:p>
      <w:r>
        <w:t xml:space="preserve">Landes Brandenburg genannten Umfangs muss möglich sein.</w:t>
      </w:r>
    </w:p>
    <w:p>
      <w:r>
        <w:t xml:space="preserve">(5) Nicht verschlossene Schranken stellen grundsätzlich keine Sperrung</w:t>
      </w:r>
    </w:p>
    <w:p>
      <w:r>
        <w:t xml:space="preserve">nach § 18 Abs. 1 des Waldgesetzes des Landes Brandenburg dar, wenn das</w:t>
      </w:r>
    </w:p>
    <w:p>
      <w:r>
        <w:t xml:space="preserve">allgemeine Betretungsrecht nach § 15 des Waldgesetzes des Landes</w:t>
      </w:r>
    </w:p>
    <w:p>
      <w:r>
        <w:t xml:space="preserve">Brandenburg durch Öffnung oder Umgehung beziehungsweise Umfahrung der</w:t>
      </w:r>
    </w:p>
    <w:p>
      <w:r>
        <w:t xml:space="preserve">Schranken ausgeübt werden kann. Stellt das Öffnen und</w:t>
      </w:r>
    </w:p>
    <w:p>
      <w:r>
        <w:t xml:space="preserve">Verschließen der Schranken eine unzumutbare Erschwerung des allgemeinen</w:t>
      </w:r>
    </w:p>
    <w:p>
      <w:r>
        <w:t xml:space="preserve">Betretungsrechtes dar oder macht es unmöglich beziehungsweise kann die</w:t>
      </w:r>
    </w:p>
    <w:p>
      <w:r>
        <w:t xml:space="preserve">Schranke nicht umgangen oder umfahren werden, so bedarf das Belassen oder</w:t>
      </w:r>
    </w:p>
    <w:p>
      <w:r>
        <w:t xml:space="preserve">Aufstellen dieser Schranken der Genehmigung nach § 18 Abs. 2 des</w:t>
      </w:r>
    </w:p>
    <w:p>
      <w:r>
        <w:t xml:space="preserve">Waldgesetzes des Landes Brandenburg.</w:t>
      </w:r>
    </w:p>
    <w:p>
      <w:r>
        <w:rPr>
          <w:color w:val="555555"/>
          <w:sz w:val="17"/>
        </w:rPr>
        <w:t xml:space="preserve">Zitiervorschlag: § 1 WaldSperrV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https://recht.nulegal.eu/gesetze/WaldSperrV/1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