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WaldSpVO (Sachsen) — Gesetzliche Betretensverbote</w:t>
      </w:r>
    </w:p>
    <w:p>
      <w:r>
        <w:rPr>
          <w:color w:val="555555"/>
          <w:sz w:val="18"/>
        </w:rPr>
        <w:t xml:space="preserve">Waldsperrungsverordnung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Schilder nach § 1 können auch verwendet werden, sofern gesetzliche Betretensverbote nach § 11 Abs. 3 Nr. 2 bis 4 und Abs. 4 SächsWaldG erkennbar gemacht werden sollen. Der Hinweis auf § 13 SächsWaldG ist in diesen Fällen durch den Hinweis auf die Vorschrift des gesetzlichen Verbots zu ersetzen oder zu ergänzen (Nummer 2 der Anlage).</w:t>
      </w:r>
    </w:p>
    <w:p>
      <w:r>
        <w:rPr>
          <w:color w:val="555555"/>
          <w:sz w:val="17"/>
        </w:rPr>
        <w:t xml:space="preserve">Zitiervorschlag: § 2 WaldSpVO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https://recht.nulegal.eu/gesetze/WaldSpVO/2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