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WaldSpVO (Sachsen) — Art und Kennzeichnung der Sperrung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Sperren nach § 13 Abs. 1 und Abs. 2 SächsWaldG sind durch Schilder nach Nummer 1 der Anlage kenntlich zu machen.</w:t>
      </w:r>
    </w:p>
    <w:p>
      <w:r>
        <w:t xml:space="preserve">(2) Eine Sperrung kann zusätzlich durch Hindernisse wie Schranken und ähnliche Vorrichtungen kenntlich gemacht werden. Hindernisse dürfen das zulässige Betreten des Waldes nicht wesentlich beeinträchtigen.</w:t>
      </w:r>
    </w:p>
    <w:p>
      <w:r>
        <w:t xml:space="preserve">(3) Nach Ablauf oder Aufhebung einer Sperrung sind die Schilder und zusätzliche Hindernisse unverzüglich zu entfernen.</w:t>
      </w:r>
    </w:p>
    <w:p>
      <w:r>
        <w:rPr>
          <w:color w:val="555555"/>
          <w:sz w:val="17"/>
        </w:rPr>
        <w:t xml:space="preserve">Zitiervorschlag: § 1 WaldSpVO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