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WaldSchadInV (Bayern) — Inkrafttreten</w:t>
      </w:r>
    </w:p>
    <w:p>
      <w:r>
        <w:rPr>
          <w:color w:val="555555"/>
          <w:sz w:val="18"/>
        </w:rPr>
        <w:t xml:space="preserve">Waldschadinsektenverordnung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Landesverordnung tritt am 1. Januar 1966 in Kraft.</w:t>
      </w:r>
    </w:p>
    <w:p>
      <w:r>
        <w:t xml:space="preserve">[Amtl. Anm.:] Betrifft die ursprüngliche Fassung vom 2. Dezember 1965 (GVBl. S. 365)</w:t>
      </w:r>
    </w:p>
    <w:p>
      <w:r>
        <w:rPr>
          <w:color w:val="555555"/>
          <w:sz w:val="17"/>
        </w:rPr>
        <w:t xml:space="preserve">Zitiervorschlag: § 8 WaldSchadInV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https://recht.nulegal.eu/gesetze/WaldSchadInV/8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