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WaldSchadInV (Bayern) — Überwachung</w:t>
      </w:r>
    </w:p>
    <w:p>
      <w:r>
        <w:rPr>
          <w:color w:val="555555"/>
          <w:sz w:val="18"/>
        </w:rPr>
        <w:t xml:space="preserve">Waldschadinsektenverordnung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sachgemäße Bekämpfung (§ 4) und die notwendigen Untersuchungen (§ 6) werden überwacht</w:t>
      </w:r>
    </w:p>
    <w:p>
      <w:r>
        <w:t xml:space="preserve">1. bei Waldgrundstücken und Walderzeugnissen durch die zuständige untere Forstbehörde,</w:t>
      </w:r>
    </w:p>
    <w:p>
      <w:r>
        <w:t xml:space="preserve">2. bei sonstigen mit Waldbäumen bestockten Grundstücken durch die zuständige Gemeinde, die sich von der zuständigen unteren Forstbehörde beraten lassen kann.</w:t>
      </w:r>
    </w:p>
    <w:p>
      <w:r>
        <w:rPr>
          <w:color w:val="555555"/>
          <w:sz w:val="17"/>
        </w:rPr>
        <w:t xml:space="preserve">Zitiervorschlag: § 5 WaldSchadInV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https://recht.nulegal.eu/gesetze/WaldSchadInV/5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