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WaldSchadInV (Bayern) — Zuständigkeiten</w:t>
      </w:r>
    </w:p>
    <w:p>
      <w:r>
        <w:rPr>
          <w:color w:val="555555"/>
          <w:sz w:val="18"/>
        </w:rPr>
        <w:t xml:space="preserve">Waldschadinsektenverordnung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Verwaltungsakte auf Grund dieser Verordnung werden gegenüber Eigentümern und Nutzungsberechtigten von Waldgrundstücken, von Walderzeugnissen sowie von Grundstücken, auf denen Walderzeugnisse lagern, erlassen</w:t>
      </w:r>
    </w:p>
    <w:p>
      <w:r>
        <w:t xml:space="preserve">1. von der Kreisverwaltungsbehörde auf Antrag der zuständigen unteren Forstbehörde, wenn sie sich auf Grundstücke oder Walderzeugnisse im Bereich nur einer Kreisverwaltungsbehörde beziehen,</w:t>
      </w:r>
    </w:p>
    <w:p>
      <w:r>
        <w:t xml:space="preserve">2. von der Regierung auf Antrag der Landesanstalt für Wald und Forstwirtschaft, wenn sie sich auf Grundstücke oder Walderzeugnisse im Bereich mehrerer Kreisverwaltungsbehörden beziehen; sind mehrere Regierungen beteiligt, haben sie, soweit tunlich, eine gemeinsame Bekanntmachung zu erlassen.</w:t>
      </w:r>
    </w:p>
    <w:p>
      <w:r>
        <w:t xml:space="preserve">(2) Verwaltungsakte auf Grund dieser Verordnung werden für sonstige mit Waldbäumen bestockte Grundstücke von der Kreisverwaltungsbehörde auf Antrag der zuständigen Gemeinde erlassen. Bei kreisfreien Gemeinden entfällt der Antrag.</w:t>
      </w:r>
    </w:p>
    <w:p>
      <w:r>
        <w:rPr>
          <w:color w:val="555555"/>
          <w:sz w:val="17"/>
        </w:rPr>
        <w:t xml:space="preserve">Zitiervorschlag: § 2 WaldSchadInV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https://recht.nulegal.eu/gesetze/WaldSchadInV/2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