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WaldInvV (Brandenburg) — In-Kraft-Treten</w:t>
      </w:r>
    </w:p>
    <w:p>
      <w:r>
        <w:rPr>
          <w:color w:val="555555"/>
          <w:sz w:val="18"/>
        </w:rPr>
        <w:t xml:space="preserve">Waldinventurverordnung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August 2005</w:t>
      </w:r>
    </w:p>
    <w:p>
      <w:r>
        <w:t xml:space="preserve">Der Minister für Ländliche Entwicklung, Umwelt und</w:t>
      </w:r>
    </w:p>
    <w:p>
      <w:r>
        <w:t xml:space="preserve">Verbraucherschutz</w:t>
      </w:r>
    </w:p>
    <w:p>
      <w:r>
        <w:t xml:space="preserve">Dr. Dietmar Woidke</w:t>
      </w:r>
    </w:p>
    <w:p>
      <w:r>
        <w:rPr>
          <w:color w:val="555555"/>
          <w:sz w:val="17"/>
        </w:rPr>
        <w:t xml:space="preserve">Zitiervorschlag: § 7 WaldInvV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https://recht.nulegal.eu/gesetze/WaldInvV/7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