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WaldInvV (Brandenburg) — Inventuren anderer Behörden</w:t>
      </w:r>
    </w:p>
    <w:p>
      <w:r>
        <w:rPr>
          <w:color w:val="555555"/>
          <w:sz w:val="18"/>
        </w:rPr>
        <w:t xml:space="preserve">Waldinventurverordnung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Inventuren anderer Behörden oder deren Beauftragte, die Boden- und</w:t>
      </w:r>
    </w:p>
    <w:p>
      <w:r>
        <w:t xml:space="preserve">Waldzustandsdaten erheben, sind zusätzlich der jeweils zuständigen</w:t>
      </w:r>
    </w:p>
    <w:p>
      <w:r>
        <w:t xml:space="preserve">Forstbehörde unter Beachtung von § 2 dieser Verordnung vor der</w:t>
      </w:r>
    </w:p>
    <w:p>
      <w:r>
        <w:t xml:space="preserve">Inventur anzuzeigen. Die Inventurergebnisse sind auch der Forstbehörde auf</w:t>
      </w:r>
    </w:p>
    <w:p>
      <w:r>
        <w:t xml:space="preserve">Anfrage zur Verfügung zu stellen.</w:t>
      </w:r>
    </w:p>
    <w:p>
      <w:r>
        <w:rPr>
          <w:color w:val="555555"/>
          <w:sz w:val="17"/>
        </w:rPr>
        <w:t xml:space="preserve">Zitiervorschlag: § 6 WaldInvV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https://recht.nulegal.eu/gesetze/WaldInvV/6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