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WaldInvV (Brandenburg) — Übergangsvorschrift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Waldinventuren, die nach den Vorschriften des Waldgesetzes des Landes</w:t>
      </w:r>
    </w:p>
    <w:p>
      <w:r>
        <w:t xml:space="preserve">Brandenburg vom 17. Juni 1991 (GVBl. S. 213), zuletzt geändert durch</w:t>
      </w:r>
    </w:p>
    <w:p>
      <w:r>
        <w:t xml:space="preserve">Artikel 3 des Gesetzes vom 10. Juli 2002 (GVBl. I S. 62, 72), begonnen wurden,</w:t>
      </w:r>
    </w:p>
    <w:p>
      <w:r>
        <w:t xml:space="preserve">bleiben in dem Übergangszeitraum von einem Jahr nach In-Kraft-Treten</w:t>
      </w:r>
    </w:p>
    <w:p>
      <w:r>
        <w:t xml:space="preserve">dieser Verordnung unberührt.</w:t>
      </w:r>
    </w:p>
    <w:p>
      <w:r>
        <w:rPr>
          <w:color w:val="555555"/>
          <w:sz w:val="17"/>
        </w:rPr>
        <w:t xml:space="preserve">Zitiervorschlag: § 5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