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WaldInvV (Brandenburg) — Durchführung von Waldinventuren durch die Forstbehörden</w:t>
      </w:r>
    </w:p>
    <w:p>
      <w:r>
        <w:rPr>
          <w:color w:val="555555"/>
          <w:sz w:val="18"/>
        </w:rPr>
        <w:t xml:space="preserve">Waldinventurverordnung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Waldinventuren sind auf der Grundlage geeigneter und nachvollziehbarer</w:t>
      </w:r>
    </w:p>
    <w:p>
      <w:r>
        <w:t xml:space="preserve">Verfahren durchzuführen. Der Inventurzeitraum, das Inventurgebiet und die</w:t>
      </w:r>
    </w:p>
    <w:p>
      <w:r>
        <w:t xml:space="preserve">Möglichkeit der Einsichtnahme in das Inventurverfahren ist durch die</w:t>
      </w:r>
    </w:p>
    <w:p>
      <w:r>
        <w:t xml:space="preserve">jeweils zuständige Forstbehörde den betroffenen Waldbesitzern</w:t>
      </w:r>
    </w:p>
    <w:p>
      <w:r>
        <w:t xml:space="preserve">mindestens vier Wochen vor Inventurbeginn in geeigneter Weise bekannt zu</w:t>
      </w:r>
    </w:p>
    <w:p>
      <w:r>
        <w:t xml:space="preserve">machen.</w:t>
      </w:r>
    </w:p>
    <w:p>
      <w:r>
        <w:t xml:space="preserve">(2) In Abhängigkeit von der Zielstellung der jeweiligen Inventur</w:t>
      </w:r>
    </w:p>
    <w:p>
      <w:r>
        <w:t xml:space="preserve">müssen die Verfahren insbesondere Aussagen beinhalten zu:</w:t>
      </w:r>
    </w:p>
    <w:p>
      <w:r>
        <w:t xml:space="preserve">Ziel und Zweck der Inventur,</w:t>
      </w:r>
    </w:p>
    <w:p>
      <w:r>
        <w:t xml:space="preserve">Inventurzeitraum, Inventurgebiet und Stichtag der Inventur,</w:t>
      </w:r>
    </w:p>
    <w:p>
      <w:r>
        <w:t xml:space="preserve">den zu erhebenden Daten und zur Datenmenge (Sachdaten und Geometrien),</w:t>
      </w:r>
    </w:p>
    <w:p>
      <w:r>
        <w:t xml:space="preserve">Art der Erhebung, gegebenenfalls Beeinträchtigungen,</w:t>
      </w:r>
    </w:p>
    <w:p>
      <w:r>
        <w:t xml:space="preserve">Speicherung der Daten,</w:t>
      </w:r>
    </w:p>
    <w:p>
      <w:r>
        <w:t xml:space="preserve">gegebenenfalls Erhebungsintervalle,</w:t>
      </w:r>
    </w:p>
    <w:p>
      <w:r>
        <w:t xml:space="preserve">Einhaltung datenschutzrechtlicher Regelungen,</w:t>
      </w:r>
    </w:p>
    <w:p>
      <w:r>
        <w:t xml:space="preserve">Weitergabe der Inventurergebnisse an Dritte.</w:t>
      </w:r>
    </w:p>
    <w:p>
      <w:r>
        <w:t xml:space="preserve">(3) Ist eine verfahrensbedingte Beeinträchtigung des Waldes bei der</w:t>
      </w:r>
    </w:p>
    <w:p>
      <w:r>
        <w:t xml:space="preserve">Durchführung der Inventur nicht auszuschließen, so ist der</w:t>
      </w:r>
    </w:p>
    <w:p>
      <w:r>
        <w:t xml:space="preserve">Waldbesitzer darauf hinzuweisen. Werden im Rahmen der Inventur Gefahrenstellen</w:t>
      </w:r>
    </w:p>
    <w:p>
      <w:r>
        <w:t xml:space="preserve">wie Bodengruben erzeugt, hat die zuständige Forstbehörde die</w:t>
      </w:r>
    </w:p>
    <w:p>
      <w:r>
        <w:t xml:space="preserve">Absicherung der Gefahrenstellen vorzunehmen und nach Beendigung der Inventur zu</w:t>
      </w:r>
    </w:p>
    <w:p>
      <w:r>
        <w:t xml:space="preserve">beseitigen. Der Waldeigentümer ist von daraus möglicherweise</w:t>
      </w:r>
    </w:p>
    <w:p>
      <w:r>
        <w:t xml:space="preserve">entstehenden Schadensersatzansprüchen freigestellt.</w:t>
      </w:r>
    </w:p>
    <w:p>
      <w:r>
        <w:rPr>
          <w:color w:val="555555"/>
          <w:sz w:val="17"/>
        </w:rPr>
        <w:t xml:space="preserve">Zitiervorschlag: § 2 WaldInvV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https://recht.nulegal.eu/gesetze/WaldInvV/2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